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7C6A" w14:textId="7724C188" w:rsidR="000B194E" w:rsidRDefault="006328BB" w:rsidP="008D587A">
      <w:pPr>
        <w:tabs>
          <w:tab w:val="center" w:pos="2129"/>
          <w:tab w:val="right" w:pos="9642"/>
        </w:tabs>
        <w:spacing w:after="0"/>
        <w:ind w:left="0" w:firstLine="0"/>
        <w:jc w:val="left"/>
      </w:pPr>
      <w:r>
        <w:t xml:space="preserve"> </w:t>
      </w:r>
    </w:p>
    <w:p w14:paraId="75DA73AF" w14:textId="2C01E1E7" w:rsidR="000B194E" w:rsidRDefault="006328BB" w:rsidP="008D587A">
      <w:pPr>
        <w:pStyle w:val="Pealkiri1"/>
        <w:numPr>
          <w:ilvl w:val="0"/>
          <w:numId w:val="0"/>
        </w:numPr>
        <w:tabs>
          <w:tab w:val="center" w:pos="3822"/>
        </w:tabs>
        <w:ind w:left="-15"/>
      </w:pPr>
      <w:proofErr w:type="spellStart"/>
      <w:r>
        <w:t>Amendments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 and </w:t>
      </w:r>
      <w:proofErr w:type="spellStart"/>
      <w:r>
        <w:t>new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34bis of 1968 </w:t>
      </w:r>
      <w:proofErr w:type="spellStart"/>
      <w:r>
        <w:t>Convention</w:t>
      </w:r>
      <w:proofErr w:type="spellEnd"/>
      <w:r>
        <w:t xml:space="preserve"> on Road </w:t>
      </w:r>
      <w:proofErr w:type="spellStart"/>
      <w:r>
        <w:t>Traffic</w:t>
      </w:r>
      <w:proofErr w:type="spellEnd"/>
      <w:r>
        <w:t xml:space="preserve"> </w:t>
      </w:r>
    </w:p>
    <w:p w14:paraId="5894E43A" w14:textId="77777777" w:rsidR="000B194E" w:rsidRDefault="006328BB">
      <w:pPr>
        <w:tabs>
          <w:tab w:val="center" w:pos="852"/>
          <w:tab w:val="center" w:pos="2408"/>
        </w:tabs>
        <w:spacing w:after="232" w:line="259" w:lineRule="auto"/>
        <w:ind w:left="-15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Amendment</w:t>
      </w:r>
      <w:proofErr w:type="spellEnd"/>
      <w:r>
        <w:rPr>
          <w:b/>
          <w:sz w:val="24"/>
        </w:rPr>
        <w:t xml:space="preserve"> of </w:t>
      </w:r>
      <w:proofErr w:type="spellStart"/>
      <w:r>
        <w:rPr>
          <w:b/>
          <w:sz w:val="24"/>
        </w:rPr>
        <w:t>Article</w:t>
      </w:r>
      <w:proofErr w:type="spellEnd"/>
      <w:r>
        <w:rPr>
          <w:b/>
          <w:sz w:val="24"/>
        </w:rPr>
        <w:t xml:space="preserve"> 1: </w:t>
      </w:r>
    </w:p>
    <w:p w14:paraId="63047563" w14:textId="77777777" w:rsidR="000B194E" w:rsidRDefault="006328BB">
      <w:pPr>
        <w:ind w:left="1130" w:right="1128"/>
      </w:pPr>
      <w:proofErr w:type="spellStart"/>
      <w:r>
        <w:t>Two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 xml:space="preserve"> “</w:t>
      </w:r>
      <w:proofErr w:type="spellStart"/>
      <w:r>
        <w:t>ab</w:t>
      </w:r>
      <w:proofErr w:type="spellEnd"/>
      <w:r>
        <w:t>” and “</w:t>
      </w:r>
      <w:proofErr w:type="spellStart"/>
      <w:r>
        <w:t>ac</w:t>
      </w:r>
      <w:proofErr w:type="spellEnd"/>
      <w:r>
        <w:t xml:space="preserve">” are </w:t>
      </w:r>
      <w:proofErr w:type="spellStart"/>
      <w:r>
        <w:t>added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read: </w:t>
      </w:r>
    </w:p>
    <w:p w14:paraId="3D183B85" w14:textId="77777777" w:rsidR="000B194E" w:rsidRDefault="006328BB">
      <w:pPr>
        <w:ind w:left="1130" w:right="1128"/>
      </w:pPr>
      <w:r>
        <w:t xml:space="preserve">ARTICLE 1  </w:t>
      </w:r>
    </w:p>
    <w:p w14:paraId="65B02E03" w14:textId="77777777" w:rsidR="000B194E" w:rsidRDefault="006328BB">
      <w:pPr>
        <w:spacing w:after="148" w:line="259" w:lineRule="auto"/>
        <w:ind w:left="1128"/>
        <w:jc w:val="left"/>
      </w:pPr>
      <w:proofErr w:type="spellStart"/>
      <w:r>
        <w:rPr>
          <w:u w:val="single" w:color="000000"/>
        </w:rPr>
        <w:t>Definitions</w:t>
      </w:r>
      <w:proofErr w:type="spellEnd"/>
      <w:r>
        <w:t xml:space="preserve">  </w:t>
      </w:r>
    </w:p>
    <w:p w14:paraId="32E21AFB" w14:textId="77777777" w:rsidR="000B194E" w:rsidRDefault="006328BB">
      <w:pPr>
        <w:spacing w:after="135"/>
        <w:ind w:left="1130" w:right="1128"/>
      </w:pPr>
      <w:r>
        <w:t>(</w:t>
      </w:r>
      <w:proofErr w:type="spellStart"/>
      <w:r>
        <w:t>ab</w:t>
      </w:r>
      <w:proofErr w:type="spellEnd"/>
      <w:r>
        <w:t xml:space="preserve">) “Automated </w:t>
      </w:r>
      <w:proofErr w:type="spellStart"/>
      <w:r>
        <w:t>driving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”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hardware</w:t>
      </w:r>
      <w:proofErr w:type="spellEnd"/>
      <w:r>
        <w:t xml:space="preserve"> and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of a </w:t>
      </w:r>
      <w:proofErr w:type="spellStart"/>
      <w:r>
        <w:t>vehicle</w:t>
      </w:r>
      <w:proofErr w:type="spellEnd"/>
      <w:r>
        <w:t xml:space="preserve"> on a </w:t>
      </w:r>
      <w:proofErr w:type="spellStart"/>
      <w:r>
        <w:t>sustained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.  </w:t>
      </w:r>
    </w:p>
    <w:p w14:paraId="2731EC9F" w14:textId="77777777" w:rsidR="000B194E" w:rsidRDefault="006328BB">
      <w:pPr>
        <w:ind w:left="1130" w:right="1128"/>
      </w:pPr>
      <w:r>
        <w:t>(</w:t>
      </w:r>
      <w:proofErr w:type="spellStart"/>
      <w:r>
        <w:t>ac</w:t>
      </w:r>
      <w:proofErr w:type="spellEnd"/>
      <w:r>
        <w:t>) “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”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all </w:t>
      </w:r>
      <w:proofErr w:type="spellStart"/>
      <w:r>
        <w:t>the</w:t>
      </w:r>
      <w:proofErr w:type="spellEnd"/>
      <w:r>
        <w:t xml:space="preserve"> real-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operational</w:t>
      </w:r>
      <w:proofErr w:type="spellEnd"/>
      <w:r>
        <w:t xml:space="preserve"> and </w:t>
      </w:r>
      <w:proofErr w:type="spellStart"/>
      <w:r>
        <w:t>tactical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controlling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vehicle’s</w:t>
      </w:r>
      <w:proofErr w:type="spellEnd"/>
      <w:r>
        <w:t xml:space="preserve"> </w:t>
      </w:r>
      <w:proofErr w:type="spellStart"/>
      <w:r>
        <w:t>lateral</w:t>
      </w:r>
      <w:proofErr w:type="spellEnd"/>
      <w:r>
        <w:t xml:space="preserve"> and </w:t>
      </w:r>
      <w:proofErr w:type="spellStart"/>
      <w:r>
        <w:t>longitudinal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,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road, </w:t>
      </w:r>
      <w:proofErr w:type="spellStart"/>
      <w:r>
        <w:t>responding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road </w:t>
      </w:r>
      <w:proofErr w:type="spellStart"/>
      <w:r>
        <w:t>traffic</w:t>
      </w:r>
      <w:proofErr w:type="spellEnd"/>
      <w:r>
        <w:t xml:space="preserve">, and </w:t>
      </w:r>
      <w:proofErr w:type="spellStart"/>
      <w:r>
        <w:t>planning</w:t>
      </w:r>
      <w:proofErr w:type="spellEnd"/>
      <w:r>
        <w:t xml:space="preserve"> and </w:t>
      </w:r>
      <w:proofErr w:type="spellStart"/>
      <w:r>
        <w:t>signalling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manoeuvres</w:t>
      </w:r>
      <w:proofErr w:type="spellEnd"/>
      <w:r>
        <w:t xml:space="preserve">. </w:t>
      </w:r>
    </w:p>
    <w:p w14:paraId="414F56A5" w14:textId="77777777" w:rsidR="000B194E" w:rsidRDefault="006328BB">
      <w:pPr>
        <w:spacing w:after="150" w:line="259" w:lineRule="auto"/>
        <w:ind w:left="1143"/>
        <w:jc w:val="left"/>
      </w:pPr>
      <w:proofErr w:type="spellStart"/>
      <w:r>
        <w:rPr>
          <w:b/>
        </w:rPr>
        <w:t>Insertion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new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Article</w:t>
      </w:r>
      <w:proofErr w:type="spellEnd"/>
      <w:r>
        <w:rPr>
          <w:b/>
        </w:rPr>
        <w:t xml:space="preserve"> 34 </w:t>
      </w:r>
      <w:r>
        <w:rPr>
          <w:b/>
          <w:u w:val="single" w:color="000000"/>
        </w:rPr>
        <w:t>bis</w:t>
      </w:r>
      <w:r>
        <w:rPr>
          <w:b/>
        </w:rPr>
        <w:t xml:space="preserve">: </w:t>
      </w:r>
    </w:p>
    <w:p w14:paraId="1BBBCB57" w14:textId="77777777" w:rsidR="000B194E" w:rsidRDefault="006328BB">
      <w:pPr>
        <w:ind w:left="1130" w:right="1128"/>
      </w:pPr>
      <w:r>
        <w:t xml:space="preserve">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“</w:t>
      </w:r>
      <w:proofErr w:type="spellStart"/>
      <w:r>
        <w:t>Article</w:t>
      </w:r>
      <w:proofErr w:type="spellEnd"/>
      <w:r>
        <w:t xml:space="preserve"> 34 bis” </w:t>
      </w:r>
      <w:proofErr w:type="spellStart"/>
      <w:r>
        <w:t>is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read: </w:t>
      </w:r>
    </w:p>
    <w:p w14:paraId="0E748274" w14:textId="77777777" w:rsidR="000B194E" w:rsidRDefault="006328BB">
      <w:pPr>
        <w:ind w:left="1130" w:right="1128"/>
      </w:pPr>
      <w:r>
        <w:t xml:space="preserve">ARTICLE 34 </w:t>
      </w:r>
      <w:r>
        <w:rPr>
          <w:u w:val="single" w:color="000000"/>
        </w:rPr>
        <w:t>bis</w:t>
      </w:r>
      <w:r>
        <w:t xml:space="preserve"> </w:t>
      </w:r>
    </w:p>
    <w:p w14:paraId="26BD584F" w14:textId="77777777" w:rsidR="000B194E" w:rsidRDefault="006328BB">
      <w:pPr>
        <w:spacing w:after="111" w:line="259" w:lineRule="auto"/>
        <w:ind w:left="1128"/>
        <w:jc w:val="left"/>
      </w:pPr>
      <w:r>
        <w:rPr>
          <w:u w:val="single" w:color="000000"/>
        </w:rPr>
        <w:t xml:space="preserve">Automated </w:t>
      </w:r>
      <w:proofErr w:type="spellStart"/>
      <w:r>
        <w:rPr>
          <w:u w:val="single" w:color="000000"/>
        </w:rPr>
        <w:t>driving</w:t>
      </w:r>
      <w:proofErr w:type="spellEnd"/>
      <w:r>
        <w:t xml:space="preserve">  </w:t>
      </w:r>
    </w:p>
    <w:p w14:paraId="48F1A311" w14:textId="77777777" w:rsidR="000B194E" w:rsidRDefault="006328BB">
      <w:pPr>
        <w:ind w:left="1130" w:right="1128"/>
      </w:pPr>
      <w:r>
        <w:t xml:space="preserve">The </w:t>
      </w:r>
      <w:proofErr w:type="spellStart"/>
      <w:r>
        <w:t>requirement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combination</w:t>
      </w:r>
      <w:proofErr w:type="spellEnd"/>
      <w:r>
        <w:t xml:space="preserve"> of </w:t>
      </w:r>
      <w:proofErr w:type="spellStart"/>
      <w:r>
        <w:t>vehicles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have a </w:t>
      </w:r>
      <w:proofErr w:type="spellStart"/>
      <w:r>
        <w:t>driver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satisfied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automated </w:t>
      </w:r>
      <w:proofErr w:type="spellStart"/>
      <w:r>
        <w:t>driving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complies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: </w:t>
      </w:r>
    </w:p>
    <w:p w14:paraId="7909B13E" w14:textId="77777777" w:rsidR="000B194E" w:rsidRDefault="006328BB">
      <w:pPr>
        <w:numPr>
          <w:ilvl w:val="0"/>
          <w:numId w:val="1"/>
        </w:numPr>
        <w:ind w:right="1128" w:hanging="567"/>
      </w:pPr>
      <w:proofErr w:type="spellStart"/>
      <w:r>
        <w:t>domestic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and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instrument,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wheeled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, </w:t>
      </w:r>
      <w:proofErr w:type="spellStart"/>
      <w:r>
        <w:t>equipment</w:t>
      </w:r>
      <w:proofErr w:type="spellEnd"/>
      <w:r>
        <w:t xml:space="preserve"> and parts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fitted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on </w:t>
      </w:r>
      <w:proofErr w:type="spellStart"/>
      <w:r>
        <w:t>wheeled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, and </w:t>
      </w:r>
    </w:p>
    <w:p w14:paraId="03E19136" w14:textId="77777777" w:rsidR="000B194E" w:rsidRDefault="006328BB">
      <w:pPr>
        <w:numPr>
          <w:ilvl w:val="0"/>
          <w:numId w:val="1"/>
        </w:numPr>
        <w:ind w:right="1128" w:hanging="567"/>
      </w:pPr>
      <w:proofErr w:type="spellStart"/>
      <w:r>
        <w:t>domestic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. </w:t>
      </w:r>
    </w:p>
    <w:p w14:paraId="7F8C777D" w14:textId="77777777" w:rsidR="000B194E" w:rsidRDefault="006328BB">
      <w:pPr>
        <w:ind w:left="1130" w:right="1128"/>
      </w:pPr>
      <w:r>
        <w:t xml:space="preserve">The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Contracting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relevant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and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. </w:t>
      </w:r>
    </w:p>
    <w:p w14:paraId="4AD1036D" w14:textId="77777777" w:rsidR="000B194E" w:rsidRDefault="006328BB">
      <w:pPr>
        <w:spacing w:after="6076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sectPr w:rsidR="000B194E">
      <w:pgSz w:w="11906" w:h="16841"/>
      <w:pgMar w:top="793" w:right="1131" w:bottom="56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091B"/>
    <w:multiLevelType w:val="hybridMultilevel"/>
    <w:tmpl w:val="15720EA2"/>
    <w:lvl w:ilvl="0" w:tplc="A69E748A">
      <w:start w:val="1"/>
      <w:numFmt w:val="lowerLetter"/>
      <w:lvlText w:val="(%1)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D4824C">
      <w:start w:val="1"/>
      <w:numFmt w:val="lowerLetter"/>
      <w:lvlText w:val="%2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3CA448">
      <w:start w:val="1"/>
      <w:numFmt w:val="lowerRoman"/>
      <w:lvlText w:val="%3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FA34A0">
      <w:start w:val="1"/>
      <w:numFmt w:val="decimal"/>
      <w:lvlText w:val="%4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0C41B8">
      <w:start w:val="1"/>
      <w:numFmt w:val="lowerLetter"/>
      <w:lvlText w:val="%5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3637A8">
      <w:start w:val="1"/>
      <w:numFmt w:val="lowerRoman"/>
      <w:lvlText w:val="%6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AEB7E">
      <w:start w:val="1"/>
      <w:numFmt w:val="decimal"/>
      <w:lvlText w:val="%7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A0406A">
      <w:start w:val="1"/>
      <w:numFmt w:val="lowerLetter"/>
      <w:lvlText w:val="%8"/>
      <w:lvlJc w:val="left"/>
      <w:pPr>
        <w:ind w:left="7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6E4754">
      <w:start w:val="1"/>
      <w:numFmt w:val="lowerRoman"/>
      <w:lvlText w:val="%9"/>
      <w:lvlJc w:val="left"/>
      <w:pPr>
        <w:ind w:left="7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7913C9"/>
    <w:multiLevelType w:val="hybridMultilevel"/>
    <w:tmpl w:val="803C0BE2"/>
    <w:lvl w:ilvl="0" w:tplc="3D3A4A56">
      <w:start w:val="1"/>
      <w:numFmt w:val="upperRoman"/>
      <w:pStyle w:val="Pealkiri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0A6F2">
      <w:start w:val="1"/>
      <w:numFmt w:val="lowerLetter"/>
      <w:lvlText w:val="%2"/>
      <w:lvlJc w:val="left"/>
      <w:pPr>
        <w:ind w:left="1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F82C52">
      <w:start w:val="1"/>
      <w:numFmt w:val="lowerRoman"/>
      <w:lvlText w:val="%3"/>
      <w:lvlJc w:val="left"/>
      <w:pPr>
        <w:ind w:left="2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21540">
      <w:start w:val="1"/>
      <w:numFmt w:val="decimal"/>
      <w:lvlText w:val="%4"/>
      <w:lvlJc w:val="left"/>
      <w:pPr>
        <w:ind w:left="3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FA137A">
      <w:start w:val="1"/>
      <w:numFmt w:val="lowerLetter"/>
      <w:lvlText w:val="%5"/>
      <w:lvlJc w:val="left"/>
      <w:pPr>
        <w:ind w:left="3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A64380">
      <w:start w:val="1"/>
      <w:numFmt w:val="lowerRoman"/>
      <w:lvlText w:val="%6"/>
      <w:lvlJc w:val="left"/>
      <w:pPr>
        <w:ind w:left="4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D8A9B8">
      <w:start w:val="1"/>
      <w:numFmt w:val="decimal"/>
      <w:lvlText w:val="%7"/>
      <w:lvlJc w:val="left"/>
      <w:pPr>
        <w:ind w:left="5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F4BB48">
      <w:start w:val="1"/>
      <w:numFmt w:val="lowerLetter"/>
      <w:lvlText w:val="%8"/>
      <w:lvlJc w:val="left"/>
      <w:pPr>
        <w:ind w:left="6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9C96B8">
      <w:start w:val="1"/>
      <w:numFmt w:val="lowerRoman"/>
      <w:lvlText w:val="%9"/>
      <w:lvlJc w:val="left"/>
      <w:pPr>
        <w:ind w:left="6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2F20B7"/>
    <w:multiLevelType w:val="hybridMultilevel"/>
    <w:tmpl w:val="85488356"/>
    <w:lvl w:ilvl="0" w:tplc="EFEAADFE">
      <w:start w:val="1"/>
      <w:numFmt w:val="decimal"/>
      <w:lvlText w:val="%1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E020E6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683FF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2460E6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4E816C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DC97B0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2E0AD0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ACD9D4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A55D6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4E"/>
    <w:rsid w:val="00055D39"/>
    <w:rsid w:val="000B194E"/>
    <w:rsid w:val="004A1EB9"/>
    <w:rsid w:val="006328BB"/>
    <w:rsid w:val="008D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79C3"/>
  <w15:docId w15:val="{A6429F09-27BF-460A-926B-358A519A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12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numPr>
        <w:numId w:val="3"/>
      </w:numPr>
      <w:spacing w:after="29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Pealkiri2Mrk">
    <w:name w:val="Pealkiri 2 Märk"/>
    <w:link w:val="Pealkiri2"/>
    <w:rPr>
      <w:rFonts w:ascii="Times New Roman" w:eastAsia="Times New Roman" w:hAnsi="Times New Roman" w:cs="Times New Roman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 Klein</dc:creator>
  <cp:keywords/>
  <cp:lastModifiedBy>Mait Klein</cp:lastModifiedBy>
  <cp:revision>5</cp:revision>
  <dcterms:created xsi:type="dcterms:W3CDTF">2021-10-01T11:29:00Z</dcterms:created>
  <dcterms:modified xsi:type="dcterms:W3CDTF">2021-11-04T10:37:00Z</dcterms:modified>
</cp:coreProperties>
</file>